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b/>
          <w:sz w:val="18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209520" cy="209520"/>
                <wp:effectExtent l="0" t="0" r="0" b="0"/>
                <wp:wrapNone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0" cy="2095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D45EF" w:rsidRDefault="00FD45EF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2" o:spid="_x0000_s1026" type="#_x0000_t202" style="position:absolute;left:0;text-align:left;margin-left:0;margin-top:0;width:16.5pt;height:16.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" filled="f" stroked="f">
                <v:textbox style="mso-fit-shape-to-text:t" inset="0,0,0,0">
                  <w:txbxContent>
                    <w:p w:rsidR="00FD45EF" w:rsidRDefault="00FD45EF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104760</wp:posOffset>
                </wp:positionV>
                <wp:extent cx="209520" cy="14760"/>
                <wp:effectExtent l="0" t="0" r="0" b="0"/>
                <wp:wrapNone/>
                <wp:docPr id="2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D45EF" w:rsidRDefault="00FD45EF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5" o:spid="_x0000_s1027" type="#_x0000_t202" style="position:absolute;left:0;text-align:left;margin-left:0;margin-top:8.25pt;width:16.5pt;height:1.1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" filled="f" stroked="f">
                <v:textbox style="mso-fit-shape-to-text:t" inset="0,0,0,0">
                  <w:txbxContent>
                    <w:p w:rsidR="00FD45EF" w:rsidRDefault="00FD45EF">
                      <w:pPr>
                        <w:pStyle w:val="Textbody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Verdana, Geneva, Arial, Helveti" w:hAnsi="Verdana, Geneva, Arial, Helveti"/>
          <w:b/>
          <w:sz w:val="18"/>
        </w:rPr>
        <w:t>РОССИЙСКАЯ ФЕДЕРАЦИЯ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b/>
          <w:sz w:val="18"/>
        </w:rPr>
      </w:pPr>
      <w:r>
        <w:rPr>
          <w:rFonts w:ascii="Verdana, Geneva, Arial, Helveti" w:hAnsi="Verdana, Geneva, Arial, Helveti"/>
          <w:b/>
          <w:sz w:val="18"/>
        </w:rPr>
        <w:t>Общество с ограниченной ответственностью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b/>
          <w:sz w:val="18"/>
        </w:rPr>
      </w:pPr>
      <w:r>
        <w:rPr>
          <w:rFonts w:ascii="Verdana, Geneva, Arial, Helveti" w:hAnsi="Verdana, Geneva, Arial, Helveti"/>
          <w:b/>
          <w:sz w:val="18"/>
        </w:rPr>
        <w:t>«Фирма «Перспектива плюс»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b/>
          <w:sz w:val="18"/>
        </w:rPr>
      </w:pPr>
      <w:r>
        <w:rPr>
          <w:rFonts w:ascii="Verdana, Geneva, Arial, Helveti" w:hAnsi="Verdana, Geneva, Arial, Helveti"/>
          <w:b/>
          <w:sz w:val="18"/>
        </w:rPr>
        <w:t>Телефон-факс: 8/4712/ 52-15-07, 52-10-37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center"/>
        <w:rPr>
          <w:rFonts w:ascii="Verdana, Geneva, Arial, Helveti" w:hAnsi="Verdana, Geneva, Arial, Helveti"/>
          <w:i/>
          <w:sz w:val="18"/>
        </w:rPr>
      </w:pPr>
      <w:r>
        <w:rPr>
          <w:rFonts w:ascii="Verdana, Geneva, Arial, Helveti" w:hAnsi="Verdana, Geneva, Arial, Helveti"/>
          <w:i/>
          <w:sz w:val="18"/>
        </w:rPr>
        <w:t>ПРОЕКТНАЯ ДЕКЛАРАЦИЯ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«30» мая 2014 года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center"/>
        <w:rPr>
          <w:rFonts w:ascii="Verdana, Geneva, Arial, Helveti" w:hAnsi="Verdana, Geneva, Arial, Helveti"/>
          <w:b/>
          <w:sz w:val="18"/>
          <w:u w:val="single"/>
        </w:rPr>
      </w:pPr>
      <w:r>
        <w:rPr>
          <w:rFonts w:ascii="Verdana, Geneva, Arial, Helveti" w:hAnsi="Verdana, Geneva, Arial, Helveti"/>
          <w:b/>
          <w:sz w:val="18"/>
          <w:u w:val="single"/>
        </w:rPr>
        <w:t>Проект</w:t>
      </w:r>
      <w:r>
        <w:rPr>
          <w:rFonts w:ascii="Verdana, Geneva, Arial, Helveti" w:hAnsi="Verdana, Geneva, Arial, Helveti"/>
          <w:b/>
          <w:sz w:val="18"/>
          <w:u w:val="single"/>
        </w:rPr>
        <w:t xml:space="preserve"> недвижимости: жилая застройка по улице 2-я Агрегатная в городе Курске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center"/>
        <w:rPr>
          <w:rFonts w:ascii="Verdana, Geneva, Arial, Helveti" w:hAnsi="Verdana, Geneva, Arial, Helveti"/>
          <w:b/>
          <w:sz w:val="18"/>
          <w:u w:val="single"/>
        </w:rPr>
      </w:pPr>
      <w:r>
        <w:rPr>
          <w:rFonts w:ascii="Verdana, Geneva, Arial, Helveti" w:hAnsi="Verdana, Geneva, Arial, Helveti"/>
          <w:b/>
          <w:sz w:val="18"/>
          <w:u w:val="single"/>
        </w:rPr>
        <w:t>адрес объекта: г. Курск, ул. Агрегатная, 57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b/>
          <w:sz w:val="18"/>
          <w:u w:val="single"/>
        </w:rPr>
      </w:pPr>
      <w:r>
        <w:rPr>
          <w:rFonts w:ascii="Verdana, Geneva, Arial, Helveti" w:hAnsi="Verdana, Geneva, Arial, Helveti"/>
          <w:b/>
          <w:sz w:val="18"/>
          <w:u w:val="single"/>
        </w:rPr>
        <w:t>ИНФОРМАЦИЯ О ЗАСТРОЙЩИКЕ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Фирменное наименование: Общество с ограниченной ответственностью «Фирма «Перспектива плюс»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Место нахождения: 305001,</w:t>
      </w:r>
      <w:r>
        <w:rPr>
          <w:rFonts w:ascii="Verdana, Geneva, Arial, Helveti" w:hAnsi="Verdana, Geneva, Arial, Helveti"/>
          <w:sz w:val="18"/>
        </w:rPr>
        <w:t xml:space="preserve"> г. Курск, ул. Белинского, дом 4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Режим работы: ежедневно с 9-00 до 18-00 (перерыв с 13-00 до 14-00). Выходной: суббота, воскресенье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Государственная регистрация застройщика: ООО «Фирма «Перспектива плюс» зарегистрировано 16.05.1996 года Администрацией город</w:t>
      </w:r>
      <w:r>
        <w:rPr>
          <w:rFonts w:ascii="Verdana, Geneva, Arial, Helveti" w:hAnsi="Verdana, Geneva, Arial, Helveti"/>
          <w:sz w:val="18"/>
        </w:rPr>
        <w:t>а Курска. Государственная регистрация юридического лица подтверждается - свидетельством о государственной регистрации юридического лица от 04.12.2002 г. серия 46 № 000237118 за основным государственным регистрационным номером – 1024600959283, выданным инсп</w:t>
      </w:r>
      <w:r>
        <w:rPr>
          <w:rFonts w:ascii="Verdana, Geneva, Arial, Helveti" w:hAnsi="Verdana, Geneva, Arial, Helveti"/>
          <w:sz w:val="18"/>
        </w:rPr>
        <w:t>екцией МНС России по г. Курску 04.12.2002 года,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ИНН 4629036009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КПП 463201001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ОГРН 1024600959283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Учредители: Дурач Владимир Антонович, паспорт 38 01 312657 выдан Отделом милиции № 6 УВД г. Курска, 14.07.2001 г., 100% голосов в органе управления ООО «Фирма «</w:t>
      </w:r>
      <w:r>
        <w:rPr>
          <w:rFonts w:ascii="Verdana, Geneva, Arial, Helveti" w:hAnsi="Verdana, Geneva, Arial, Helveti"/>
          <w:sz w:val="18"/>
        </w:rPr>
        <w:t>Перспектива плюс».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i/>
          <w:sz w:val="18"/>
        </w:rPr>
        <w:t>Финансирование:</w:t>
      </w:r>
      <w:r>
        <w:rPr>
          <w:rFonts w:ascii="Verdana, Geneva, Arial, Helveti" w:hAnsi="Verdana, Geneva, Arial, Helveti"/>
          <w:sz w:val="18"/>
        </w:rPr>
        <w:t>данные по состоянию на 30.03.2014 год.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Финансовый результат (стр.2400 Ф"Отчет о прибылях и убытках"): – 199 тыс. руб., краткосрочные обязательства (стр.1500 Ф "Бухгалтерский баланс"): 321721 тыс.руб., из них кредиторская з</w:t>
      </w:r>
      <w:r>
        <w:rPr>
          <w:rFonts w:ascii="Verdana, Geneva, Arial, Helveti" w:hAnsi="Verdana, Geneva, Arial, Helveti"/>
          <w:sz w:val="18"/>
        </w:rPr>
        <w:t>адолженность (стр.1520 Ф "Бухгалтерский баланс"): 216461 тыс. руб., дебиторская задолженность (стр.1230 Ф "Бухгалтерский баланс"): 3340 тыс. руб..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b/>
          <w:sz w:val="18"/>
          <w:u w:val="single"/>
        </w:rPr>
      </w:pPr>
      <w:r>
        <w:rPr>
          <w:rFonts w:ascii="Verdana, Geneva, Arial, Helveti" w:hAnsi="Verdana, Geneva, Arial, Helveti"/>
          <w:b/>
          <w:sz w:val="18"/>
          <w:u w:val="single"/>
        </w:rPr>
        <w:t>Информация о проекте строительства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i/>
          <w:sz w:val="18"/>
        </w:rPr>
      </w:pPr>
      <w:r>
        <w:rPr>
          <w:rFonts w:ascii="Verdana, Geneva, Arial, Helveti" w:hAnsi="Verdana, Geneva, Arial, Helveti"/>
          <w:i/>
          <w:sz w:val="18"/>
        </w:rPr>
        <w:t>Цель проекта: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Строительство и ввод в эксплуатацию объекта: жилая </w:t>
      </w:r>
      <w:r>
        <w:rPr>
          <w:rFonts w:ascii="Verdana, Geneva, Arial, Helveti" w:hAnsi="Verdana, Geneva, Arial, Helveti"/>
          <w:sz w:val="18"/>
        </w:rPr>
        <w:t>застройка по улице 2-я Агрегатная в городе Курске.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i/>
          <w:sz w:val="18"/>
        </w:rPr>
      </w:pPr>
      <w:r>
        <w:rPr>
          <w:rFonts w:ascii="Verdana, Geneva, Arial, Helveti" w:hAnsi="Verdana, Geneva, Arial, Helveti"/>
          <w:i/>
          <w:sz w:val="18"/>
        </w:rPr>
        <w:t>Этапы и сроки его реализации: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Строительство жилого дома осуществляется в четыре этапа.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1-й -2-й этап строительства – 10-ти этажный жилой дом № 1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Начало строительства – 2-ое полугодие 2003 года.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Окончание с</w:t>
      </w:r>
      <w:r>
        <w:rPr>
          <w:rFonts w:ascii="Verdana, Geneva, Arial, Helveti" w:hAnsi="Verdana, Geneva, Arial, Helveti"/>
          <w:sz w:val="18"/>
        </w:rPr>
        <w:t>троительства – 2-е полугодие 2016 года.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Срок ввода в эксплуатацию и срок передачи объекта (квартир, нежилых (офисных) помещений Участникам долевого строительства – второе полугодие 2014 г.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3-й – 4-й этап строительства – 10-ти этажный жилой дом № 2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Начало с</w:t>
      </w:r>
      <w:r>
        <w:rPr>
          <w:rFonts w:ascii="Verdana, Geneva, Arial, Helveti" w:hAnsi="Verdana, Geneva, Arial, Helveti"/>
          <w:sz w:val="18"/>
        </w:rPr>
        <w:t>троительства – 2-ое полугодие 2013 года.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Окончание строительства – 2-е полугодие 2016 года.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Срок ввода в эксплуатацию и срок передачи объекта (квартир, нежилых (офисных) помещений Участникам долевого строительства – второе полугодие 2016 г.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i/>
          <w:sz w:val="18"/>
        </w:rPr>
      </w:pPr>
      <w:r>
        <w:rPr>
          <w:rFonts w:ascii="Verdana, Geneva, Arial, Helveti" w:hAnsi="Verdana, Geneva, Arial, Helveti"/>
          <w:i/>
          <w:sz w:val="18"/>
        </w:rPr>
        <w:t>Результаты госу</w:t>
      </w:r>
      <w:r>
        <w:rPr>
          <w:rFonts w:ascii="Verdana, Geneva, Arial, Helveti" w:hAnsi="Verdana, Geneva, Arial, Helveti"/>
          <w:i/>
          <w:sz w:val="18"/>
        </w:rPr>
        <w:t>дарственной экспертизы проектной документации: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lastRenderedPageBreak/>
        <w:t xml:space="preserve">Положительное сводное заключение № 46-1-2-0849 от 18.02.2011 г., государственной экспертизы Областного государственного учреждения Государственная экспертиза проектов Курской области, положительное заключение </w:t>
      </w:r>
      <w:r>
        <w:rPr>
          <w:rFonts w:ascii="Verdana, Geneva, Arial, Helveti" w:hAnsi="Verdana, Geneva, Arial, Helveti"/>
          <w:sz w:val="18"/>
        </w:rPr>
        <w:t>государственной экспертизы № 46-1-2-1149-13, дополнение к сводному заключению № 46-1-2-0849 от 18.02.2011 г..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Разрешение на строительство № 225 от 04.11.2003 года, выдано государственной инспекцией архитектурно-строительного надзора. Срок действия разрешен</w:t>
      </w:r>
      <w:r>
        <w:rPr>
          <w:rFonts w:ascii="Verdana, Geneva, Arial, Helveti" w:hAnsi="Verdana, Geneva, Arial, Helveti"/>
          <w:sz w:val="18"/>
        </w:rPr>
        <w:t>ия до 01.01.2005 г.. Разрешение на строительство № ru 46302000-1895 от 25.06.2012 года, выдано комитетом архитектуры и градостроительства города Курска. Срок действия разрешения до 31.12.2016 года.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i/>
          <w:sz w:val="18"/>
        </w:rPr>
      </w:pPr>
      <w:r>
        <w:rPr>
          <w:rFonts w:ascii="Verdana, Geneva, Arial, Helveti" w:hAnsi="Verdana, Geneva, Arial, Helveti"/>
          <w:i/>
          <w:sz w:val="18"/>
        </w:rPr>
        <w:t>О правах застройщика на земельный участок: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На основании </w:t>
      </w:r>
      <w:r>
        <w:rPr>
          <w:rFonts w:ascii="Verdana, Geneva, Arial, Helveti" w:hAnsi="Verdana, Geneva, Arial, Helveti"/>
          <w:sz w:val="18"/>
        </w:rPr>
        <w:t xml:space="preserve">решения комитета по управлению имуществом Курской области от 06.11.2013 года № 01-19/30044 между Комитетом (арендодатель) и ООО «Фирма «Перспектива плюс» (арендатор) был заключен договор № 4720-13ю аренды земельного участка, находящегося в государственной </w:t>
      </w:r>
      <w:r>
        <w:rPr>
          <w:rFonts w:ascii="Verdana, Geneva, Arial, Helveti" w:hAnsi="Verdana, Geneva, Arial, Helveti"/>
          <w:sz w:val="18"/>
        </w:rPr>
        <w:t>собственности и расположенного на территории города Курска от 10.01.2014 года, зарегистрированный в управлении Федеральной службы государственной регистрации, кадастра и картографии по Курской области 30.05.2014 года, номер регистрации 46-46-01/014/2014-09</w:t>
      </w:r>
      <w:r>
        <w:rPr>
          <w:rFonts w:ascii="Verdana, Geneva, Arial, Helveti" w:hAnsi="Verdana, Geneva, Arial, Helveti"/>
          <w:sz w:val="18"/>
        </w:rPr>
        <w:t>9: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Объект по договору аренды - земельный участок, категория земель: земли населенных пунктов, площадью: 8 000 кв.м., с кадастровым номером 46:29:101060:34, находящийся по адресу: Курская область, г. Курск, ул. 2-я Агрегатная, 57.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i/>
          <w:sz w:val="18"/>
        </w:rPr>
      </w:pPr>
      <w:r>
        <w:rPr>
          <w:rFonts w:ascii="Verdana, Geneva, Arial, Helveti" w:hAnsi="Verdana, Geneva, Arial, Helveti"/>
          <w:i/>
          <w:sz w:val="18"/>
        </w:rPr>
        <w:t>Элементы благоустройства у</w:t>
      </w:r>
      <w:r>
        <w:rPr>
          <w:rFonts w:ascii="Verdana, Geneva, Arial, Helveti" w:hAnsi="Verdana, Geneva, Arial, Helveti"/>
          <w:i/>
          <w:sz w:val="18"/>
        </w:rPr>
        <w:t>частка: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Проезд, тротуары, дорожки решены в бетонном покрытии и обрамляются железобетонными бордюрами. Площадки разработаны с учетом разворота автотранспорта размером 15х15 м. Площадки для отдыха и хозяйственных целей оборудованы необходимыми малыми формами</w:t>
      </w:r>
      <w:r>
        <w:rPr>
          <w:rFonts w:ascii="Verdana, Geneva, Arial, Helveti" w:hAnsi="Verdana, Geneva, Arial, Helveti"/>
          <w:sz w:val="18"/>
        </w:rPr>
        <w:t>. Места парковки автомобилей удалены от жилых и общественных зданий на расстояние, соответствующее требованиям пожарных норм на расстояние не менее 10 метров. Временные автостоянки расположены вдоль проектируемых подъездов. Санитарные разрывы для размещени</w:t>
      </w:r>
      <w:r>
        <w:rPr>
          <w:rFonts w:ascii="Verdana, Geneva, Arial, Helveti" w:hAnsi="Verdana, Geneva, Arial, Helveti"/>
          <w:sz w:val="18"/>
        </w:rPr>
        <w:t>я парковочных площадок, автостоянок для автотранспорта и ГРП проектом обеспечиваются. Проектом предусмотрена посадка кустарников и высокорастущих пород деревьев.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i/>
          <w:sz w:val="18"/>
        </w:rPr>
      </w:pPr>
      <w:r>
        <w:rPr>
          <w:rFonts w:ascii="Verdana, Geneva, Arial, Helveti" w:hAnsi="Verdana, Geneva, Arial, Helveti"/>
          <w:i/>
          <w:sz w:val="18"/>
        </w:rPr>
        <w:t>Местоположение строящегося дома и его описание: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Жилая застройка (два жилых дома с помещениями </w:t>
      </w:r>
      <w:r>
        <w:rPr>
          <w:rFonts w:ascii="Verdana, Geneva, Arial, Helveti" w:hAnsi="Verdana, Geneva, Arial, Helveti"/>
          <w:sz w:val="18"/>
        </w:rPr>
        <w:t>общественного назначения) располагается на земельном участке, по адресу: Железнодорожный округ, г. Курска, ул.2-ая Агрегатная 57.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Блок-секции десятиэтажные с подвальным этажом.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Жилой дом № 1 состоит из четырёх 10-ти этажных блок – секций с помещениями обще</w:t>
      </w:r>
      <w:r>
        <w:rPr>
          <w:rFonts w:ascii="Verdana, Geneva, Arial, Helveti" w:hAnsi="Verdana, Geneva, Arial, Helveti"/>
          <w:sz w:val="18"/>
        </w:rPr>
        <w:t>ственного назначения в подвале, количество квартир - 280, в том числе однокомнатных – 152 шт., двухкомнатных – 58 шт., трехкомнатных - 70 шт.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Жилой дом № 2 состоит из трёх 10-ти этажных блок – секций с помещениями общественного назначения в подвале, количе</w:t>
      </w:r>
      <w:r>
        <w:rPr>
          <w:rFonts w:ascii="Verdana, Geneva, Arial, Helveti" w:hAnsi="Verdana, Geneva, Arial, Helveti"/>
          <w:sz w:val="18"/>
        </w:rPr>
        <w:t>ство квартир - 220, в том числе однокомнатных – 131 шт., двухкомнатных – 59 шт., трехкомнатных - 30 шт.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Фундаменты свайные, ростверки - монолитные железобетонные из бетона класса В 15 с армированием арматурой класса А III. Перекрытия выполняются монолитным</w:t>
      </w:r>
      <w:r>
        <w:rPr>
          <w:rFonts w:ascii="Verdana, Geneva, Arial, Helveti" w:hAnsi="Verdana, Geneva, Arial, Helveti"/>
          <w:sz w:val="18"/>
        </w:rPr>
        <w:t>и железобетонными толщиной 160мм, колонны - монолитные железобетонные. Внутренние перегородки межквартирные - толщиной 180 мм из пазогребневых силикатных блоков, межкомнатные - толщиной 70 мм из пазогребневых силикатных блоков. Наружные стены навесные трех</w:t>
      </w:r>
      <w:r>
        <w:rPr>
          <w:rFonts w:ascii="Verdana, Geneva, Arial, Helveti" w:hAnsi="Verdana, Geneva, Arial, Helveti"/>
          <w:sz w:val="18"/>
        </w:rPr>
        <w:t>слойной конструкции толщиной 310 мм с кладкой на гибких связях и утеплением из пенополистирола ПСБ-25 толщиной 120мм.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Наружный слой - кладка из силикатного кирпича толщиной 120мм в сочетании с лицевым керамическим кирпичом толщ. 120мм.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Средний слой – э</w:t>
      </w:r>
      <w:r>
        <w:rPr>
          <w:rFonts w:ascii="Verdana, Geneva, Arial, Helveti" w:hAnsi="Verdana, Geneva, Arial, Helveti"/>
          <w:sz w:val="18"/>
        </w:rPr>
        <w:t>ффективный утеплитель пенополистирол ПСБ-25 толщиной 120мм.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Внутренний слой – из силикатных пазогребневых блоков толщиной 70 мм.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Лестницы выполняются из сборных железобетонных маршей и площадок. Кровля запроектирована рулонная из двух слоев «Линокром» с </w:t>
      </w:r>
      <w:r>
        <w:rPr>
          <w:rFonts w:ascii="Verdana, Geneva, Arial, Helveti" w:hAnsi="Verdana, Geneva, Arial, Helveti"/>
          <w:sz w:val="18"/>
        </w:rPr>
        <w:t>внутренним водостоком. Для повышения напора воды на вводе водопровода в подполье жилого дома запроектировано помещение насосной. Сети холодного водоснабжения запроектированы из труб ПВХ диаметром 15-40. В каждой квартире предусмотрена установка счетчиков р</w:t>
      </w:r>
      <w:r>
        <w:rPr>
          <w:rFonts w:ascii="Verdana, Geneva, Arial, Helveti" w:hAnsi="Verdana, Geneva, Arial, Helveti"/>
          <w:sz w:val="18"/>
        </w:rPr>
        <w:t xml:space="preserve">асхода холодной воды. Система горячего водоснабжения проектирована из пластмассовых труб ПВХ диаметром 40-15. Система канализации – из полиэтиленовых труб низкого давления по ГОСТ 22689-89. Канализационные трубопроводы по техподполью и выпуски канализации </w:t>
      </w:r>
      <w:r>
        <w:rPr>
          <w:rFonts w:ascii="Verdana, Geneva, Arial, Helveti" w:hAnsi="Verdana, Geneva, Arial, Helveti"/>
          <w:sz w:val="18"/>
        </w:rPr>
        <w:t>проектируются из чугунных канализационных труб по ГОСТ 6942-98. В жилом доме предусматриваются поквартирные системы отопления. Отопление помещений общественного назначения предусматривается от котлов с закрытой камерой сгорания, установленных в теплогенера</w:t>
      </w:r>
      <w:r>
        <w:rPr>
          <w:rFonts w:ascii="Verdana, Geneva, Arial, Helveti" w:hAnsi="Verdana, Geneva, Arial, Helveti"/>
          <w:sz w:val="18"/>
        </w:rPr>
        <w:t>торных.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lastRenderedPageBreak/>
        <w:t>Самостоятельные части объекта жилого дома, передаваемые участниками долевого строительства в жилом доме № 1: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В 4-х секционном жилом доме предусмотрено 4 подъезда, 280 квартиры из них: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В осях 1-2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однокомнатных – 60 штук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2 квартиры – общей </w:t>
      </w:r>
      <w:r>
        <w:rPr>
          <w:rFonts w:ascii="Verdana, Geneva, Arial, Helveti" w:hAnsi="Verdana, Geneva, Arial, Helveti"/>
          <w:sz w:val="18"/>
        </w:rPr>
        <w:t>проектной площадью и площадью балкона – 45,16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45,12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51,28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</w:t>
      </w:r>
      <w:r>
        <w:rPr>
          <w:rFonts w:ascii="Verdana, Geneva, Arial, Helveti" w:hAnsi="Verdana, Geneva, Arial, Helveti"/>
          <w:sz w:val="18"/>
        </w:rPr>
        <w:t xml:space="preserve"> – 49,97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55,66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44,91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44,82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</w:t>
      </w:r>
      <w:r>
        <w:rPr>
          <w:rFonts w:ascii="Verdana, Geneva, Arial, Helveti" w:hAnsi="Verdana, Geneva, Arial, Helveti"/>
          <w:sz w:val="18"/>
        </w:rPr>
        <w:t>роектной площадью и площадью балкона – 51,01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55,45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50,23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4 квартиры – общей проектной площадью и площадью балкона </w:t>
      </w:r>
      <w:r>
        <w:rPr>
          <w:rFonts w:ascii="Verdana, Geneva, Arial, Helveti" w:hAnsi="Verdana, Geneva, Arial, Helveti"/>
          <w:sz w:val="18"/>
        </w:rPr>
        <w:t>– 44,89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50,99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55,40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50,18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11 квартир – общей пр</w:t>
      </w:r>
      <w:r>
        <w:rPr>
          <w:rFonts w:ascii="Verdana, Geneva, Arial, Helveti" w:hAnsi="Verdana, Geneva, Arial, Helveti"/>
          <w:sz w:val="18"/>
        </w:rPr>
        <w:t>оектной площадью и площадью балкона – 44,81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44,75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50,93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</w:t>
      </w:r>
      <w:r>
        <w:rPr>
          <w:rFonts w:ascii="Verdana, Geneva, Arial, Helveti" w:hAnsi="Verdana, Geneva, Arial, Helveti"/>
          <w:sz w:val="18"/>
        </w:rPr>
        <w:t xml:space="preserve"> 55,36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50,10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44,73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44,67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</w:t>
      </w:r>
      <w:r>
        <w:rPr>
          <w:rFonts w:ascii="Verdana, Geneva, Arial, Helveti" w:hAnsi="Verdana, Geneva, Arial, Helveti"/>
          <w:sz w:val="18"/>
        </w:rPr>
        <w:t>ектной площадью и площадью балкона – 50,81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55,28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50,02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– общей проектной площадью и площадью балкона – </w:t>
      </w:r>
      <w:r>
        <w:rPr>
          <w:rFonts w:ascii="Verdana, Geneva, Arial, Helveti" w:hAnsi="Verdana, Geneva, Arial, Helveti"/>
          <w:sz w:val="18"/>
        </w:rPr>
        <w:t>44,78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50,95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55,38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50,15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4 квартиры– общей </w:t>
      </w:r>
      <w:r>
        <w:rPr>
          <w:rFonts w:ascii="Verdana, Geneva, Arial, Helveti" w:hAnsi="Verdana, Geneva, Arial, Helveti"/>
          <w:sz w:val="18"/>
        </w:rPr>
        <w:t>проектной площадью и площадью балкона – 44,70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50,87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55,34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</w:t>
      </w:r>
      <w:r>
        <w:rPr>
          <w:rFonts w:ascii="Verdana, Geneva, Arial, Helveti" w:hAnsi="Verdana, Geneva, Arial, Helveti"/>
          <w:sz w:val="18"/>
        </w:rPr>
        <w:t xml:space="preserve"> – 50,07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двухкомнатные квартиры – 30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52,38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55,65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– общей проектной площадью и площадью балкона – </w:t>
      </w:r>
      <w:r>
        <w:rPr>
          <w:rFonts w:ascii="Verdana, Geneva, Arial, Helveti" w:hAnsi="Verdana, Geneva, Arial, Helveti"/>
          <w:sz w:val="18"/>
        </w:rPr>
        <w:t>57,83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lastRenderedPageBreak/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67,97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57,62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69,01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3 квартиры – общей </w:t>
      </w:r>
      <w:r>
        <w:rPr>
          <w:rFonts w:ascii="Verdana, Geneva, Arial, Helveti" w:hAnsi="Verdana, Geneva, Arial, Helveti"/>
          <w:sz w:val="18"/>
        </w:rPr>
        <w:t>проектной площадью и площадью балкона – 57,58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69,05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52,35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</w:t>
      </w:r>
      <w:r>
        <w:rPr>
          <w:rFonts w:ascii="Verdana, Geneva, Arial, Helveti" w:hAnsi="Verdana, Geneva, Arial, Helveti"/>
          <w:sz w:val="18"/>
        </w:rPr>
        <w:t xml:space="preserve"> – 69,02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57,55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68,96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52,36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</w:t>
      </w:r>
      <w:r>
        <w:rPr>
          <w:rFonts w:ascii="Verdana, Geneva, Arial, Helveti" w:hAnsi="Verdana, Geneva, Arial, Helveti"/>
          <w:sz w:val="18"/>
        </w:rPr>
        <w:t>роектной площадью и площадью балкона – 69,10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52,28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57,50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3 квартиры – общей проектной площадью и площадью балкона </w:t>
      </w:r>
      <w:r>
        <w:rPr>
          <w:rFonts w:ascii="Verdana, Geneva, Arial, Helveti" w:hAnsi="Verdana, Geneva, Arial, Helveti"/>
          <w:sz w:val="18"/>
        </w:rPr>
        <w:t>– 68,92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69,00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В осях 3-4.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Однокомнатные квартиры – 31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41,20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</w:t>
      </w:r>
      <w:r>
        <w:rPr>
          <w:rFonts w:ascii="Verdana, Geneva, Arial, Helveti" w:hAnsi="Verdana, Geneva, Arial, Helveti"/>
          <w:sz w:val="18"/>
        </w:rPr>
        <w:t xml:space="preserve"> балкона – 41,75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52,30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48,62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40,89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</w:t>
      </w:r>
      <w:r>
        <w:rPr>
          <w:rFonts w:ascii="Verdana, Geneva, Arial, Helveti" w:hAnsi="Verdana, Geneva, Arial, Helveti"/>
          <w:sz w:val="18"/>
        </w:rPr>
        <w:t xml:space="preserve"> общей проектной площадью и площадью балкона – 45,44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46,72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40,81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– общей проектной площадью и площадью </w:t>
      </w:r>
      <w:r>
        <w:rPr>
          <w:rFonts w:ascii="Verdana, Geneva, Arial, Helveti" w:hAnsi="Verdana, Geneva, Arial, Helveti"/>
          <w:sz w:val="18"/>
        </w:rPr>
        <w:t>балкона – 45,35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46,64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40,73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45,28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– </w:t>
      </w:r>
      <w:r>
        <w:rPr>
          <w:rFonts w:ascii="Verdana, Geneva, Arial, Helveti" w:hAnsi="Verdana, Geneva, Arial, Helveti"/>
          <w:sz w:val="18"/>
        </w:rPr>
        <w:t>общей проектной площадью и площадью балкона – 46,55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40,75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45,36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</w:t>
      </w:r>
      <w:r>
        <w:rPr>
          <w:rFonts w:ascii="Verdana, Geneva, Arial, Helveti" w:hAnsi="Verdana, Geneva, Arial, Helveti"/>
          <w:sz w:val="18"/>
        </w:rPr>
        <w:t>алкона – 46,56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45,40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40,86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45,39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</w:t>
      </w:r>
      <w:r>
        <w:rPr>
          <w:rFonts w:ascii="Verdana, Geneva, Arial, Helveti" w:hAnsi="Verdana, Geneva, Arial, Helveti"/>
          <w:sz w:val="18"/>
        </w:rPr>
        <w:t>бщей проектной площадью и площадью балкона – 46,48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Двухкомнатные квартиры – 19 штук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79,65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79,30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lastRenderedPageBreak/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</w:t>
      </w:r>
      <w:r>
        <w:rPr>
          <w:rFonts w:ascii="Verdana, Geneva, Arial, Helveti" w:hAnsi="Verdana, Geneva, Arial, Helveti"/>
          <w:sz w:val="18"/>
        </w:rPr>
        <w:t xml:space="preserve"> проектной площадью и площадью балкона – 66,43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66,34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79,20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</w:t>
      </w:r>
      <w:r>
        <w:rPr>
          <w:rFonts w:ascii="Verdana, Geneva, Arial, Helveti" w:hAnsi="Verdana, Geneva, Arial, Helveti"/>
          <w:sz w:val="18"/>
        </w:rPr>
        <w:t>а – 79,12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66,27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79,49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66,61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– общей </w:t>
      </w:r>
      <w:r>
        <w:rPr>
          <w:rFonts w:ascii="Verdana, Geneva, Arial, Helveti" w:hAnsi="Verdana, Geneva, Arial, Helveti"/>
          <w:sz w:val="18"/>
        </w:rPr>
        <w:t>проектной площадью и площадью балкона – 66,69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79,42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66,63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Трехкомнатные квартиры – 20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</w:t>
      </w:r>
      <w:r>
        <w:rPr>
          <w:rFonts w:ascii="Verdana, Geneva, Arial, Helveti" w:hAnsi="Verdana, Geneva, Arial, Helveti"/>
          <w:sz w:val="18"/>
        </w:rPr>
        <w:t>ектной площадью и площадью балкона – 83,94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93,77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83,95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– общей проектной площадью и площадью балкона – </w:t>
      </w:r>
      <w:r>
        <w:rPr>
          <w:rFonts w:ascii="Verdana, Geneva, Arial, Helveti" w:hAnsi="Verdana, Geneva, Arial, Helveti"/>
          <w:sz w:val="18"/>
        </w:rPr>
        <w:t>95,74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83,85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83,78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84,13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</w:t>
      </w:r>
      <w:r>
        <w:rPr>
          <w:rFonts w:ascii="Verdana, Geneva, Arial, Helveti" w:hAnsi="Verdana, Geneva, Arial, Helveti"/>
          <w:sz w:val="18"/>
        </w:rPr>
        <w:t>ктной площадью и площадью балкона – 84,06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3 квартиры – общей проектной площадью и площадью балкона – 84,14кв.м.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95,57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95</w:t>
      </w:r>
      <w:r>
        <w:rPr>
          <w:rFonts w:ascii="Verdana, Geneva, Arial, Helveti" w:hAnsi="Verdana, Geneva, Arial, Helveti"/>
          <w:sz w:val="18"/>
        </w:rPr>
        <w:t>,49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95,99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96,30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96,19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В осях 5-6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Однокомнатные кв</w:t>
      </w:r>
      <w:r>
        <w:rPr>
          <w:rFonts w:ascii="Verdana, Geneva, Arial, Helveti" w:hAnsi="Verdana, Geneva, Arial, Helveti"/>
          <w:sz w:val="18"/>
        </w:rPr>
        <w:t>артиры – 30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47,82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39,01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49,56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</w:t>
      </w:r>
      <w:r>
        <w:rPr>
          <w:rFonts w:ascii="Verdana, Geneva, Arial, Helveti" w:hAnsi="Verdana, Geneva, Arial, Helveti"/>
          <w:sz w:val="18"/>
        </w:rPr>
        <w:t>й проектной площадью и площадью балкона – 50,94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49,79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50,44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</w:t>
      </w:r>
      <w:r>
        <w:rPr>
          <w:rFonts w:ascii="Verdana, Geneva, Arial, Helveti" w:hAnsi="Verdana, Geneva, Arial, Helveti"/>
          <w:sz w:val="18"/>
        </w:rPr>
        <w:t>на – 50,86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49,71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50,40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50,93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</w:t>
      </w:r>
      <w:r>
        <w:rPr>
          <w:rFonts w:ascii="Verdana, Geneva, Arial, Helveti" w:hAnsi="Verdana, Geneva, Arial, Helveti"/>
          <w:sz w:val="18"/>
        </w:rPr>
        <w:t xml:space="preserve"> проектной площадью и площадью балкона – 49,63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50,42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50,98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lastRenderedPageBreak/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</w:t>
      </w:r>
      <w:r>
        <w:rPr>
          <w:rFonts w:ascii="Verdana, Geneva, Arial, Helveti" w:hAnsi="Verdana, Geneva, Arial, Helveti"/>
          <w:sz w:val="18"/>
        </w:rPr>
        <w:t>а – 49,70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50,44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50,90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6 квартиры – общей проектной площадью и площадью балкона – 49,66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2 квартиры – общей </w:t>
      </w:r>
      <w:r>
        <w:rPr>
          <w:rFonts w:ascii="Verdana, Geneva, Arial, Helveti" w:hAnsi="Verdana, Geneva, Arial, Helveti"/>
          <w:sz w:val="18"/>
        </w:rPr>
        <w:t>проектной площадью и площадью балкона – 50,36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Трёхкомнатные квартиры – 20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101,86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113,11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</w:t>
      </w:r>
      <w:r>
        <w:rPr>
          <w:rFonts w:ascii="Verdana, Geneva, Arial, Helveti" w:hAnsi="Verdana, Geneva, Arial, Helveti"/>
          <w:sz w:val="18"/>
        </w:rPr>
        <w:t>роектной площадью и площадью балкона – 101,89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117,48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101,95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</w:t>
      </w:r>
      <w:r>
        <w:rPr>
          <w:rFonts w:ascii="Verdana, Geneva, Arial, Helveti" w:hAnsi="Verdana, Geneva, Arial, Helveti"/>
          <w:sz w:val="18"/>
        </w:rPr>
        <w:t>на – 117,36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102,11кв.м.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117,53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102,40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</w:t>
      </w:r>
      <w:r>
        <w:rPr>
          <w:rFonts w:ascii="Verdana, Geneva, Arial, Helveti" w:hAnsi="Verdana, Geneva, Arial, Helveti"/>
          <w:sz w:val="18"/>
        </w:rPr>
        <w:t>щей проектной площадью и площадью балкона – 117,76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102,28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117,64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В осях 7-8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Однокомнатные квартиры – 31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</w:t>
      </w:r>
      <w:r>
        <w:rPr>
          <w:rFonts w:ascii="Verdana, Geneva, Arial, Helveti" w:hAnsi="Verdana, Geneva, Arial, Helveti"/>
          <w:sz w:val="18"/>
        </w:rPr>
        <w:t>артира – общей проектной площадью и площадью балкона – 41,20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45,75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52,30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</w:t>
      </w:r>
      <w:r>
        <w:rPr>
          <w:rFonts w:ascii="Verdana, Geneva, Arial, Helveti" w:hAnsi="Verdana, Geneva, Arial, Helveti"/>
          <w:sz w:val="18"/>
        </w:rPr>
        <w:t>лощадью балкона – 48,62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40,89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45,44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46,72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</w:t>
      </w:r>
      <w:r>
        <w:rPr>
          <w:rFonts w:ascii="Verdana, Geneva, Arial, Helveti" w:hAnsi="Verdana, Geneva, Arial, Helveti"/>
          <w:sz w:val="18"/>
        </w:rPr>
        <w:t>ртира – общей проектной площадью и площадью балкона – 40,80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45,35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46,64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– общей проектной площадью и </w:t>
      </w:r>
      <w:r>
        <w:rPr>
          <w:rFonts w:ascii="Verdana, Geneva, Arial, Helveti" w:hAnsi="Verdana, Geneva, Arial, Helveti"/>
          <w:sz w:val="18"/>
        </w:rPr>
        <w:t>площадью балкона – 40,73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45,28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46,75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40,75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</w:t>
      </w:r>
      <w:r>
        <w:rPr>
          <w:rFonts w:ascii="Verdana, Geneva, Arial, Helveti" w:hAnsi="Verdana, Geneva, Arial, Helveti"/>
          <w:sz w:val="18"/>
        </w:rPr>
        <w:t>квартира – общей проектной площадью и площадью балкона – 45,36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46,56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40,99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</w:t>
      </w:r>
      <w:r>
        <w:rPr>
          <w:rFonts w:ascii="Verdana, Geneva, Arial, Helveti" w:hAnsi="Verdana, Geneva, Arial, Helveti"/>
          <w:sz w:val="18"/>
        </w:rPr>
        <w:t xml:space="preserve"> площадью балкона – 45,22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40,87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45,39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lastRenderedPageBreak/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46,48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Двухк</w:t>
      </w:r>
      <w:r>
        <w:rPr>
          <w:rFonts w:ascii="Verdana, Geneva, Arial, Helveti" w:hAnsi="Verdana, Geneva, Arial, Helveti"/>
          <w:sz w:val="18"/>
        </w:rPr>
        <w:t>омнатные квартиры – 9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66,09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66,02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65,95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</w:t>
      </w:r>
      <w:r>
        <w:rPr>
          <w:rFonts w:ascii="Verdana, Geneva, Arial, Helveti" w:hAnsi="Verdana, Geneva, Arial, Helveti"/>
          <w:sz w:val="18"/>
        </w:rPr>
        <w:t>ира – общей проектной площадью и площадью балкона – 66,32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66,39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66,33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Трёхкомнатные квартиры – 30 штук.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</w:t>
      </w:r>
      <w:r>
        <w:rPr>
          <w:rFonts w:ascii="Verdana, Geneva, Arial, Helveti" w:hAnsi="Verdana, Geneva, Arial, Helveti"/>
          <w:sz w:val="18"/>
        </w:rPr>
        <w:t xml:space="preserve"> – общей проектной площадью и площадью балкона – 92,40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83,94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83,75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</w:t>
      </w:r>
      <w:r>
        <w:rPr>
          <w:rFonts w:ascii="Verdana, Geneva, Arial, Helveti" w:hAnsi="Verdana, Geneva, Arial, Helveti"/>
          <w:sz w:val="18"/>
        </w:rPr>
        <w:t>ю балкона – 94,25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83,95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83,46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94,22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1 квартира </w:t>
      </w:r>
      <w:r>
        <w:rPr>
          <w:rFonts w:ascii="Verdana, Geneva, Arial, Helveti" w:hAnsi="Verdana, Geneva, Arial, Helveti"/>
          <w:sz w:val="18"/>
        </w:rPr>
        <w:t>– общей проектной площадью и площадью балкона – 83,85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83,37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94,12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</w:t>
      </w:r>
      <w:r>
        <w:rPr>
          <w:rFonts w:ascii="Verdana, Geneva, Arial, Helveti" w:hAnsi="Verdana, Geneva, Arial, Helveti"/>
          <w:sz w:val="18"/>
        </w:rPr>
        <w:t xml:space="preserve"> балкона – 83,78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83,29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94,41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2 квартиры – общей проектной площадью и площадью балкона – 84,13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</w:t>
      </w:r>
      <w:r>
        <w:rPr>
          <w:rFonts w:ascii="Verdana, Geneva, Arial, Helveti" w:hAnsi="Verdana, Geneva, Arial, Helveti"/>
          <w:sz w:val="18"/>
        </w:rPr>
        <w:t xml:space="preserve"> общей проектной площадью и площадью балкона – 83,68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94,42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1 квартира – общей проектной площадью и площадью балкона – 83,70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4 квартиры – общей проектной площадью и площадью </w:t>
      </w:r>
      <w:r>
        <w:rPr>
          <w:rFonts w:ascii="Verdana, Geneva, Arial, Helveti" w:hAnsi="Verdana, Geneva, Arial, Helveti"/>
          <w:sz w:val="18"/>
        </w:rPr>
        <w:t>балкона – 94,37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84,06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4 квартиры – общей проектной площадью и площадью балкона – 83,64 кв.м.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На этаже (цокольный) отметки 0,0000 жилого дома располагаются нежилые (офисные) помещени</w:t>
      </w:r>
      <w:r>
        <w:rPr>
          <w:rFonts w:ascii="Verdana, Geneva, Arial, Helveti" w:hAnsi="Verdana, Geneva, Arial, Helveti"/>
          <w:sz w:val="18"/>
        </w:rPr>
        <w:t>я 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1, общей проектной площадью – 121,34 кв.м., 1/комната 114,33 кв.м., 2/ санузел 4,35 кв.м., 3/ тамбур 2,66 кв.м.,.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2, общей проектной площадью – 86,70 кв.м., 1/комната 74,04 к</w:t>
      </w:r>
      <w:r>
        <w:rPr>
          <w:rFonts w:ascii="Verdana, Geneva, Arial, Helveti" w:hAnsi="Verdana, Geneva, Arial, Helveti"/>
          <w:sz w:val="18"/>
        </w:rPr>
        <w:t>в.м., 2/ санузел 4,02 кв.м., 3/ тамбур 6,56 кв.м., 4/ тамбур 2,08 кв.м.,.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3, общей проектной площадью – 122,25 кв.м., 1/комната 114,93 кв.м., 2/ санузел 2,71 кв.м., 3/ тамбур 4,61;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</w:t>
      </w:r>
      <w:r>
        <w:rPr>
          <w:rFonts w:ascii="Verdana, Geneva, Arial, Helveti" w:hAnsi="Verdana, Geneva, Arial, Helveti"/>
          <w:sz w:val="18"/>
        </w:rPr>
        <w:t xml:space="preserve"> № 4, общей проектной площадью – 90,74 кв.м., 1/комната 83,42 кв.м., 2/ санузел 2,71, 3/ тамбур 4,61 кв.м.,.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5, общей проектной площадью – 66,54 кв.м., 1/комната 58,37 кв.м., 2/ санузел 4,85 кв.м., 3/ тамбур 3,32 кв.м</w:t>
      </w:r>
      <w:r>
        <w:rPr>
          <w:rFonts w:ascii="Verdana, Geneva, Arial, Helveti" w:hAnsi="Verdana, Geneva, Arial, Helveti"/>
          <w:sz w:val="18"/>
        </w:rPr>
        <w:t>.,.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- помещения общественного назначения № 6, общей проектной площадью – 84,74 кв.м., 1/комната 78,17 кв.м., 2/ санузел </w:t>
      </w:r>
      <w:r>
        <w:rPr>
          <w:rFonts w:ascii="Verdana, Geneva, Arial, Helveti" w:hAnsi="Verdana, Geneva, Arial, Helveti"/>
          <w:sz w:val="18"/>
        </w:rPr>
        <w:lastRenderedPageBreak/>
        <w:t>4,02 кв.м., 3/ тамбур 2,55 кв.м.,.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7, общей проектной площадью – 116,05 кв.м., 1/комната 112,0 кв</w:t>
      </w:r>
      <w:r>
        <w:rPr>
          <w:rFonts w:ascii="Verdana, Geneva, Arial, Helveti" w:hAnsi="Verdana, Geneva, Arial, Helveti"/>
          <w:sz w:val="18"/>
        </w:rPr>
        <w:t>.м., 2/ санузел 4,05 кв.м.,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8, общей проектной площадью – 132,93 кв.м., 1/комната 128,32 кв.м., 2/ санузел 3,61 кв.м., 3/ тамбур 1,86 кв.м.,.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9, общей проектной площадью – 189,47</w:t>
      </w:r>
      <w:r>
        <w:rPr>
          <w:rFonts w:ascii="Verdana, Geneva, Arial, Helveti" w:hAnsi="Verdana, Geneva, Arial, Helveti"/>
          <w:sz w:val="18"/>
        </w:rPr>
        <w:t xml:space="preserve"> кв.м., 1/рабочее помещение 171,47 кв.м., 2/ тамбур 8,23 кв.м., 3/ санузел 3,80 кв.м.,. 4/ санузел 2,72 кв.м., 5/ кладовая уборочного инвентаря 3,25 кв.м.,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10, общей проектной площадью – 129,73 кв.м., 1/рабочее помеще</w:t>
      </w:r>
      <w:r>
        <w:rPr>
          <w:rFonts w:ascii="Verdana, Geneva, Arial, Helveti" w:hAnsi="Verdana, Geneva, Arial, Helveti"/>
          <w:sz w:val="18"/>
        </w:rPr>
        <w:t>ние 114,19 кв.м., 2/ тамбур 8,15 кв.м., 3/ санузел 3,65 кв.м.,. 4/ санузел 3,74 кв.м.,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11, общей проектной площадью – 66,54 кв.м., 1/рабочее помещение 58,37 кв.м., 2/ санузел 4,85 кв.м., 3/ тамбур 3,32 кв.м.,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</w:t>
      </w:r>
      <w:r>
        <w:rPr>
          <w:rFonts w:ascii="Verdana, Geneva, Arial, Helveti" w:hAnsi="Verdana, Geneva, Arial, Helveti"/>
          <w:sz w:val="18"/>
        </w:rPr>
        <w:t>ния общественного назначения № 12, общей проектной площадью – 84,74 кв.м., 1/рабочее помещение 78,17 кв.м., 2/ санузел 4,02 кв.м., 3/ тамбур 2.55 кв.м.,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13, общей проектной площадью – 116,05 кв.м., 1/рабочее помещение</w:t>
      </w:r>
      <w:r>
        <w:rPr>
          <w:rFonts w:ascii="Verdana, Geneva, Arial, Helveti" w:hAnsi="Verdana, Geneva, Arial, Helveti"/>
          <w:sz w:val="18"/>
        </w:rPr>
        <w:t xml:space="preserve"> 112,0 кв.м., 2/ санузел 4,05 кв.м.,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- помещения общественного назначения № 14, общей проектной площадью – 139,57 кв.м., 1/рабочее помещение 134,10 кв.м., 2/ санузел 3,61 кв.м.,. 3/ тамбур 1,86,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Входы в помещениями общественного помещения располагаются со </w:t>
      </w:r>
      <w:r>
        <w:rPr>
          <w:rFonts w:ascii="Verdana, Geneva, Arial, Helveti" w:hAnsi="Verdana, Geneva, Arial, Helveti"/>
          <w:sz w:val="18"/>
        </w:rPr>
        <w:t>стороны улицы, т.е. изолированы от входов в жилые подъезды.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Проектом предусмотрены нежилые помещения, теплогенераторные, не входящие в состав имущества участников долевого строительства.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Общее имущество в жилом доме, которое будет находиться в общей долево</w:t>
      </w:r>
      <w:r>
        <w:rPr>
          <w:rFonts w:ascii="Verdana, Geneva, Arial, Helveti" w:hAnsi="Verdana, Geneva, Arial, Helveti"/>
          <w:sz w:val="18"/>
        </w:rPr>
        <w:t>й собственности участников долевого строительства: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при возникновении права собственности на объект долевого строительства одновременно возникает доля в праве собственности на общее имущество в жилом доме № 1 и жилом доме № 2 по ул. 2-я Агрегатная, 57, сост</w:t>
      </w:r>
      <w:r>
        <w:rPr>
          <w:rFonts w:ascii="Verdana, Geneva, Arial, Helveti" w:hAnsi="Verdana, Geneva, Arial, Helveti"/>
          <w:sz w:val="18"/>
        </w:rPr>
        <w:t>оящего из: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земельного участка площадью 8000 кв.м. с элементами благоустройства;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лестничных клеток и лестничных маршей;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помещения технического этажа (чердак);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техподполья, предназначенного для обслуживания инженерных документаций;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машинного помеще</w:t>
      </w:r>
      <w:r>
        <w:rPr>
          <w:rFonts w:ascii="Verdana, Geneva, Arial, Helveti" w:hAnsi="Verdana, Geneva, Arial, Helveti"/>
          <w:sz w:val="18"/>
        </w:rPr>
        <w:t>ния;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лифтовых шахт и лифтов для обслуживания жилых помещений;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крыши;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внутреннего инженерного оборудования дома;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Перечень органов государственной власти, органов местного самоуправления и организации, представители которых участвуют в приемке жилого д</w:t>
      </w:r>
      <w:r>
        <w:rPr>
          <w:rFonts w:ascii="Verdana, Geneva, Arial, Helveti" w:hAnsi="Verdana, Geneva, Arial, Helveti"/>
          <w:sz w:val="18"/>
        </w:rPr>
        <w:t>ома в эксплуатацию: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>Государственная инспекция строительного надзора Курской области, представители администрации города, эксплуатирующей организации и других служб и организаций согласно распоряжению администрации города.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</w:pPr>
      <w:r>
        <w:t xml:space="preserve">• </w:t>
      </w:r>
      <w:r>
        <w:rPr>
          <w:rFonts w:ascii="Verdana, Geneva, Arial, Helveti" w:hAnsi="Verdana, Geneva, Arial, Helveti"/>
          <w:sz w:val="18"/>
        </w:rPr>
        <w:t xml:space="preserve">Предполагаемый срок получения </w:t>
      </w:r>
      <w:r>
        <w:rPr>
          <w:rFonts w:ascii="Verdana, Geneva, Arial, Helveti" w:hAnsi="Verdana, Geneva, Arial, Helveti"/>
          <w:sz w:val="18"/>
        </w:rPr>
        <w:t>разрешения на ввод объекта в эксплуатацию – 2-е полугодие 2016 года, которое выдается Комитетом архитектуры и градостроительства города Курска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Возможные финансовые риски: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Основными финансовыми рисками являются макроэкономические риски. Это риски, связанные</w:t>
      </w:r>
      <w:r>
        <w:rPr>
          <w:rFonts w:ascii="Verdana, Geneva, Arial, Helveti" w:hAnsi="Verdana, Geneva, Arial, Helveti"/>
          <w:sz w:val="18"/>
        </w:rPr>
        <w:t xml:space="preserve"> с системой налогообложения, снижения деловой активности в национальной экономике, нестабильностью ситуации на финансовых и товарных рынках, инфляции, изменение банковских процентов, налоговых ставок.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Планируемая сводная сметная стоимость строительства жил</w:t>
      </w:r>
      <w:r>
        <w:rPr>
          <w:rFonts w:ascii="Verdana, Geneva, Arial, Helveti" w:hAnsi="Verdana, Geneva, Arial, Helveti"/>
          <w:sz w:val="18"/>
        </w:rPr>
        <w:t>ой застройки по ул. 2-я Агрегатная в городе Курске составляет:</w:t>
      </w:r>
      <w:r>
        <w:rPr>
          <w:rFonts w:ascii="Verdana, Geneva, Arial, Helveti" w:hAnsi="Verdana, Geneva, Arial, Helveti"/>
          <w:i/>
          <w:sz w:val="18"/>
        </w:rPr>
        <w:t xml:space="preserve">941175000-96 руб. (из них планируемая сводная сметная стоимость жилого дома № 1 – 525608 00-23 руб., </w:t>
      </w:r>
      <w:r>
        <w:rPr>
          <w:rFonts w:ascii="Verdana, Geneva, Arial, Helveti" w:hAnsi="Verdana, Geneva, Arial, Helveti"/>
          <w:i/>
          <w:sz w:val="18"/>
        </w:rPr>
        <w:lastRenderedPageBreak/>
        <w:t>планируемая сводная сметная стоимость жилого дома № 2 – 415565 00-73 руб..)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Перечень подрядн</w:t>
      </w:r>
      <w:r>
        <w:rPr>
          <w:rFonts w:ascii="Verdana, Geneva, Arial, Helveti" w:hAnsi="Verdana, Geneva, Arial, Helveti"/>
          <w:sz w:val="18"/>
        </w:rPr>
        <w:t>ых организаций: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ООО Инвестиционно-строительная компания «КурскГлавСтрой», ООО "ПрофМонолит"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Информация о способе обеспечения исполнения обязательств Застройщиком по договору: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Исполнение застройщиком обязательств по договору участия в долевом строительстве </w:t>
      </w:r>
      <w:r>
        <w:rPr>
          <w:rFonts w:ascii="Verdana, Geneva, Arial, Helveti" w:hAnsi="Verdana, Geneva, Arial, Helveti"/>
          <w:sz w:val="18"/>
        </w:rPr>
        <w:t>обеспечено залогом в соответствии со статьями 12.1-15 Федерального закона от 30.12.2004 года № 214 ФЗ.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Об иных договорах и сделках, на основании которых привлекаются денежные средства для строительства (создания) многоквартирного дома, за исключением переч</w:t>
      </w:r>
      <w:r>
        <w:rPr>
          <w:rFonts w:ascii="Verdana, Geneva, Arial, Helveti" w:hAnsi="Verdana, Geneva, Arial, Helveti"/>
          <w:sz w:val="18"/>
        </w:rPr>
        <w:t>исления денежных средств на основании договоров.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Застройщиком не заключены какие-либо иные договора и сделки, на основании которых привлекались бы денежные средства для строительства жилого дома, за исключением привлечения денежных средств на основании дог</w:t>
      </w:r>
      <w:r>
        <w:rPr>
          <w:rFonts w:ascii="Verdana, Geneva, Arial, Helveti" w:hAnsi="Verdana, Geneva, Arial, Helveti"/>
          <w:sz w:val="18"/>
        </w:rPr>
        <w:t>оворов участия в долевом строительстве.</w:t>
      </w:r>
    </w:p>
    <w:p w:rsidR="00FD45EF" w:rsidRDefault="005F77C9">
      <w:pPr>
        <w:pStyle w:val="Textbody"/>
        <w:spacing w:before="90" w:after="90" w:line="270" w:lineRule="atLeast"/>
        <w:ind w:left="45" w:right="45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Проекты строительства, в которых ООО «Фирма «Перспектива плюс» в течение трех лет, предшествовавших опубликованию декларации принимало (принимает) участие.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 xml:space="preserve">В течение 3-х лет предшествовавших опубликованию проектной </w:t>
      </w:r>
      <w:r>
        <w:rPr>
          <w:rFonts w:ascii="Verdana, Geneva, Arial, Helveti" w:hAnsi="Verdana, Geneva, Arial, Helveti"/>
          <w:sz w:val="18"/>
        </w:rPr>
        <w:t>декларации от 30.05.2014 года, ООО «Фирма «Перспектива плюс» был построен и введен в эксплуатацию объект – жилой дом с помещениями общественного назначения по ул. Чернышевского, дом 68А в городе Курске.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Настоящая проектная декларация размещена в сети «Инте</w:t>
      </w:r>
      <w:r>
        <w:rPr>
          <w:rFonts w:ascii="Verdana, Geneva, Arial, Helveti" w:hAnsi="Verdana, Geneva, Arial, Helveti"/>
          <w:sz w:val="18"/>
        </w:rPr>
        <w:t>рнет» на сайте: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www.pplus46.ru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президент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ООО «Фирма «Перспектива плюс» _____________________Дурач В.А.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ИЗМЕНЕНИЯ В ПРОЕКТНУЮ ДЕКЛАРАЦИЮ</w:t>
      </w:r>
    </w:p>
    <w:p w:rsidR="00FD45EF" w:rsidRDefault="00FD45EF">
      <w:pPr>
        <w:pStyle w:val="Textbody"/>
        <w:spacing w:before="90" w:after="90" w:line="270" w:lineRule="atLeast"/>
        <w:ind w:left="45" w:right="45"/>
      </w:pPr>
    </w:p>
    <w:p w:rsidR="00FD45EF" w:rsidRDefault="00FD45EF">
      <w:pPr>
        <w:pStyle w:val="Textbody"/>
        <w:spacing w:before="90" w:after="90" w:line="270" w:lineRule="atLeast"/>
        <w:ind w:left="45" w:right="45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center"/>
        <w:rPr>
          <w:rFonts w:ascii="Verdana, Geneva, Arial, Helveti" w:hAnsi="Verdana, Geneva, Arial, Helveti"/>
          <w:b/>
          <w:sz w:val="18"/>
        </w:rPr>
      </w:pPr>
      <w:r>
        <w:rPr>
          <w:rFonts w:ascii="Verdana, Geneva, Arial, Helveti" w:hAnsi="Verdana, Geneva, Arial, Helveti"/>
          <w:b/>
          <w:sz w:val="18"/>
        </w:rPr>
        <w:t>РОССИЙСКАЯ ФЕДЕРАЦИЯ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center"/>
        <w:rPr>
          <w:rFonts w:ascii="Verdana, Geneva, Arial, Helveti" w:hAnsi="Verdana, Geneva, Arial, Helveti"/>
          <w:b/>
          <w:sz w:val="18"/>
        </w:rPr>
      </w:pPr>
      <w:r>
        <w:rPr>
          <w:rFonts w:ascii="Verdana, Geneva, Arial, Helveti" w:hAnsi="Verdana, Geneva, Arial, Helveti"/>
          <w:b/>
          <w:sz w:val="18"/>
        </w:rPr>
        <w:t>Общество с ограниченной ответственностью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center"/>
        <w:rPr>
          <w:rFonts w:ascii="Verdana, Geneva, Arial, Helveti" w:hAnsi="Verdana, Geneva, Arial, Helveti"/>
          <w:b/>
          <w:sz w:val="18"/>
        </w:rPr>
      </w:pPr>
      <w:r>
        <w:rPr>
          <w:rFonts w:ascii="Verdana, Geneva, Arial, Helveti" w:hAnsi="Verdana, Geneva, Arial, Helveti"/>
          <w:b/>
          <w:sz w:val="18"/>
        </w:rPr>
        <w:t>«Фирма «Перспектива плюс»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center"/>
        <w:rPr>
          <w:rFonts w:ascii="Verdana, Geneva, Arial, Helveti" w:hAnsi="Verdana, Geneva, Arial, Helveti"/>
          <w:b/>
          <w:sz w:val="18"/>
        </w:rPr>
      </w:pPr>
      <w:r>
        <w:rPr>
          <w:rFonts w:ascii="Verdana, Geneva, Arial, Helveti" w:hAnsi="Verdana, Geneva, Arial, Helveti"/>
          <w:b/>
          <w:sz w:val="18"/>
        </w:rPr>
        <w:t>Телефон-факс: 8/4712/ 52-1</w:t>
      </w:r>
      <w:r>
        <w:rPr>
          <w:rFonts w:ascii="Verdana, Geneva, Arial, Helveti" w:hAnsi="Verdana, Geneva, Arial, Helveti"/>
          <w:b/>
          <w:sz w:val="18"/>
        </w:rPr>
        <w:t>5-07, 52-10-37</w:t>
      </w:r>
    </w:p>
    <w:p w:rsidR="00FD45EF" w:rsidRDefault="005F77C9">
      <w:pPr>
        <w:pStyle w:val="Textbody"/>
        <w:spacing w:before="90" w:after="90" w:line="270" w:lineRule="atLeast"/>
        <w:ind w:left="45" w:right="45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ИЗМЕНЕНИЯ от 30 июня 2014 года</w:t>
      </w:r>
    </w:p>
    <w:p w:rsidR="00FD45EF" w:rsidRDefault="005F77C9">
      <w:pPr>
        <w:pStyle w:val="Textbody"/>
        <w:spacing w:before="90" w:after="90" w:line="270" w:lineRule="atLeast"/>
        <w:ind w:left="45" w:right="45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В ПРОЕКТНУЮ ДЕКЛАРАЦИЮ</w:t>
      </w:r>
    </w:p>
    <w:p w:rsidR="00FD45EF" w:rsidRDefault="005F77C9">
      <w:pPr>
        <w:pStyle w:val="Textbody"/>
        <w:spacing w:before="90" w:after="90" w:line="270" w:lineRule="atLeast"/>
        <w:ind w:left="45" w:right="45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от «30» мая 2014года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22"/>
        </w:rPr>
      </w:pPr>
      <w:r>
        <w:rPr>
          <w:rFonts w:ascii="Verdana, Geneva, Arial, Helveti" w:hAnsi="Verdana, Geneva, Arial, Helveti"/>
          <w:sz w:val="22"/>
        </w:rPr>
        <w:t>Общество с ограниченной ответственностью «Фима «Перспектива плюс»» публикует настоящие Изменения в Проектную декларацию от 30.05.2014 г.. на сайте www.pplus46.ru в с</w:t>
      </w:r>
      <w:r>
        <w:rPr>
          <w:rFonts w:ascii="Verdana, Geneva, Arial, Helveti" w:hAnsi="Verdana, Geneva, Arial, Helveti"/>
          <w:sz w:val="22"/>
        </w:rPr>
        <w:t>оответствии, в порядке и на условиях, установленных требованиями ст. 2,3,19,20,21 Федерального закона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</w:t>
      </w:r>
      <w:r>
        <w:rPr>
          <w:rFonts w:ascii="Verdana, Geneva, Arial, Helveti" w:hAnsi="Verdana, Geneva, Arial, Helveti"/>
          <w:sz w:val="22"/>
        </w:rPr>
        <w:t>ссийской Федерации».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22"/>
        </w:rPr>
      </w:pPr>
      <w:r>
        <w:rPr>
          <w:rFonts w:ascii="Verdana, Geneva, Arial, Helveti" w:hAnsi="Verdana, Geneva, Arial, Helveti"/>
          <w:sz w:val="22"/>
        </w:rPr>
        <w:t>Публикация Проектной декларации на сайте 30.05.2014 г.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22"/>
        </w:rPr>
      </w:pPr>
      <w:r>
        <w:rPr>
          <w:rFonts w:ascii="Verdana, Geneva, Arial, Helveti" w:hAnsi="Verdana, Geneva, Arial, Helveti"/>
          <w:sz w:val="22"/>
        </w:rPr>
        <w:t xml:space="preserve">В соответствии со ст.19 Федерального закона № 214-ФЗ «Об участии в долевом строительстве многоквартирных домов и иных объектов недвижимости и о внесении изменений в некоторые </w:t>
      </w:r>
      <w:r>
        <w:rPr>
          <w:rFonts w:ascii="Verdana, Geneva, Arial, Helveti" w:hAnsi="Verdana, Geneva, Arial, Helveti"/>
          <w:sz w:val="22"/>
        </w:rPr>
        <w:t>законодательные акты Российской Федерации» ООО «Фирма «Перспектива плюс» вносит следующие изменения в Проектную декларацию от 30.05.2014 г: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22"/>
        </w:rPr>
      </w:pPr>
      <w:r>
        <w:rPr>
          <w:rFonts w:ascii="Verdana, Geneva, Arial, Helveti" w:hAnsi="Verdana, Geneva, Arial, Helveti"/>
          <w:sz w:val="22"/>
        </w:rPr>
        <w:t>Внести изменения в раздел – финансирование и читать в следующей редакции: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22"/>
        </w:rPr>
      </w:pPr>
      <w:r>
        <w:rPr>
          <w:rFonts w:ascii="Verdana, Geneva, Arial, Helveti" w:hAnsi="Verdana, Geneva, Arial, Helveti"/>
          <w:sz w:val="22"/>
        </w:rPr>
        <w:t>Финансирование: данные по состоянию на 3</w:t>
      </w:r>
      <w:r>
        <w:rPr>
          <w:rFonts w:ascii="Verdana, Geneva, Arial, Helveti" w:hAnsi="Verdana, Geneva, Arial, Helveti"/>
          <w:sz w:val="22"/>
        </w:rPr>
        <w:t>0.06.2014 года.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22"/>
        </w:rPr>
      </w:pPr>
      <w:r>
        <w:rPr>
          <w:rFonts w:ascii="Verdana, Geneva, Arial, Helveti" w:hAnsi="Verdana, Geneva, Arial, Helveti"/>
          <w:sz w:val="22"/>
        </w:rPr>
        <w:t>Финансовый результат (стр.2400 Ф "Отчет о прибылях и убытках"): – - 564 тыс. руб., краткосрочные обязательства (стр.1500 Ф "Бухгалтерский баланс"): 341 874 тыс.руб., из них кредиторская задолженность (стр.1520 Ф "Бухгалтерский баланс"): 22</w:t>
      </w:r>
      <w:r>
        <w:rPr>
          <w:rFonts w:ascii="Verdana, Geneva, Arial, Helveti" w:hAnsi="Verdana, Geneva, Arial, Helveti"/>
          <w:sz w:val="22"/>
        </w:rPr>
        <w:t>6 174 тыс. руб., дебиторская задолженность (стр.1230 Ф "Бухгалтерский баланс"): 8 562 тыс. руб..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президент</w:t>
      </w:r>
    </w:p>
    <w:p w:rsidR="00FD45EF" w:rsidRDefault="005F77C9">
      <w:pPr>
        <w:pStyle w:val="Textbody"/>
        <w:spacing w:before="90" w:after="90" w:line="270" w:lineRule="atLeast"/>
        <w:ind w:left="45" w:right="45"/>
        <w:jc w:val="both"/>
        <w:rPr>
          <w:rFonts w:ascii="Verdana, Geneva, Arial, Helveti" w:hAnsi="Verdana, Geneva, Arial, Helveti"/>
          <w:sz w:val="18"/>
        </w:rPr>
      </w:pPr>
      <w:r>
        <w:rPr>
          <w:rFonts w:ascii="Verdana, Geneva, Arial, Helveti" w:hAnsi="Verdana, Geneva, Arial, Helveti"/>
          <w:sz w:val="18"/>
        </w:rPr>
        <w:t>ООО «Фирма «Перспектива плюс _____________________Дурач В.А.</w:t>
      </w: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Textbody"/>
        <w:spacing w:before="90" w:after="90" w:line="270" w:lineRule="atLeast"/>
        <w:ind w:left="45" w:right="45"/>
        <w:jc w:val="both"/>
      </w:pPr>
    </w:p>
    <w:p w:rsidR="00FD45EF" w:rsidRDefault="00FD45EF">
      <w:pPr>
        <w:pStyle w:val="1"/>
        <w:spacing w:before="90" w:after="90" w:line="270" w:lineRule="atLeast"/>
        <w:ind w:left="45" w:right="45"/>
        <w:jc w:val="center"/>
      </w:pPr>
    </w:p>
    <w:sectPr w:rsidR="00FD45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C9" w:rsidRDefault="005F77C9">
      <w:r>
        <w:separator/>
      </w:r>
    </w:p>
  </w:endnote>
  <w:endnote w:type="continuationSeparator" w:id="0">
    <w:p w:rsidR="005F77C9" w:rsidRDefault="005F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, Geneva, Arial, Helvet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C9" w:rsidRDefault="005F77C9">
      <w:r>
        <w:rPr>
          <w:color w:val="000000"/>
        </w:rPr>
        <w:ptab w:relativeTo="margin" w:alignment="center" w:leader="none"/>
      </w:r>
    </w:p>
  </w:footnote>
  <w:footnote w:type="continuationSeparator" w:id="0">
    <w:p w:rsidR="005F77C9" w:rsidRDefault="005F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D45EF"/>
    <w:rsid w:val="004E717B"/>
    <w:rsid w:val="005F77C9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A38FB-DBBD-489F-BBCB-4C9772E4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2</cp:revision>
  <dcterms:created xsi:type="dcterms:W3CDTF">2017-07-13T22:51:00Z</dcterms:created>
  <dcterms:modified xsi:type="dcterms:W3CDTF">2017-07-13T22:51:00Z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